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ФІНАНСОВИЙ ЗВІТ ГРОМАДСЬКОЇ ОРГАНІЗАЦІЇ                            «УКРАЇНСЬКА АСОЦІАЦІЯ ПСИХОДЕЛІЧНИХ ДОСЛІДЖЕНЬ» ЗА 2024 РІК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0"/>
        <w:gridCol w:w="6238"/>
        <w:gridCol w:w="2971"/>
      </w:tblGrid>
      <w:tr>
        <w:trPr/>
        <w:tc>
          <w:tcPr>
            <w:tcW w:w="6658" w:type="dxa"/>
            <w:gridSpan w:val="2"/>
            <w:vMerge w:val="restart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Залишок грошових коштів на 01.01.2024 року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702 076,36грн.</w:t>
            </w:r>
          </w:p>
        </w:tc>
      </w:tr>
      <w:tr>
        <w:trPr/>
        <w:tc>
          <w:tcPr>
            <w:tcW w:w="6658" w:type="dxa"/>
            <w:gridSpan w:val="2"/>
            <w:vMerge w:val="continue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40 EUR</w:t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НАДХОДЖЕННЯ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Грантові кошти від Heal Traumas International, Inc.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179 007,07грн.               (4 369.85</w:t>
            </w:r>
            <w:r>
              <w:rPr>
                <w:rFonts w:eastAsia="Calibri" w:cs=""/>
                <w:kern w:val="0"/>
                <w:sz w:val="28"/>
                <w:szCs w:val="28"/>
                <w:lang w:val="en-US" w:eastAsia="en-US" w:bidi="ar-SA"/>
              </w:rPr>
              <w:t>USD)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Грантові кошти від Міжнародного Фонду "ВIДРОДЖЕННЯ"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3 406 100,00грн.</w:t>
            </w:r>
          </w:p>
        </w:tc>
      </w:tr>
      <w:tr>
        <w:trPr/>
        <w:tc>
          <w:tcPr>
            <w:tcW w:w="6658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ВСЬОГО НАДХОДЖЕННЯ за 2024рік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3 585 107,07 грн.</w:t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96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ВИТРАТИ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 xml:space="preserve">Проведення тематичних 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 xml:space="preserve">масових 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заходів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473 085,00грн.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Підготовка та публікація наукових, науково-популярних матеріалів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160 344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,00грн.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Розроблення вебсайту, е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лектронні сервіси та інтернет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6 840,60грн.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Просвітницька діяльність, СММ та маркетинг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65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 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583</w:t>
            </w: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,00грн.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Оплата праці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591 575,91грн.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Податки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310 428,66грн.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8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Супутні витрати</w:t>
            </w:r>
          </w:p>
        </w:tc>
        <w:tc>
          <w:tcPr>
            <w:tcW w:w="2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  <w:t>33 774,10грн.</w:t>
            </w:r>
          </w:p>
        </w:tc>
      </w:tr>
      <w:tr>
        <w:trPr/>
        <w:tc>
          <w:tcPr>
            <w:tcW w:w="6658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ВСЬОГО ВИТРАТИ за 2024рік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1 941 631,27</w:t>
            </w:r>
          </w:p>
        </w:tc>
      </w:tr>
      <w:tr>
        <w:trPr>
          <w:trHeight w:val="142" w:hRule="atLeast"/>
        </w:trPr>
        <w:tc>
          <w:tcPr>
            <w:tcW w:w="665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97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6658" w:type="dxa"/>
            <w:gridSpan w:val="2"/>
            <w:vMerge w:val="restart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Залишок грошових коштів на 31.12.2024 року</w:t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2 345 552,16 грн.</w:t>
            </w: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*</w:t>
            </w:r>
          </w:p>
        </w:tc>
      </w:tr>
      <w:tr>
        <w:trPr/>
        <w:tc>
          <w:tcPr>
            <w:tcW w:w="6658" w:type="dxa"/>
            <w:gridSpan w:val="2"/>
            <w:vMerge w:val="continue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97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uk-UA" w:eastAsia="en-US" w:bidi="ar-SA"/>
              </w:rPr>
              <w:t>40 EUR</w:t>
            </w:r>
            <w:bookmarkStart w:id="0" w:name="_Hlk193874516"/>
            <w:bookmarkEnd w:id="0"/>
          </w:p>
        </w:tc>
      </w:tr>
    </w:tbl>
    <w:p>
      <w:pPr>
        <w:pStyle w:val="Normal"/>
        <w:rPr/>
      </w:pPr>
      <w:r>
        <w:rPr/>
        <w:t>* - зарезервовані на виконання грантових проєктів в 2025 р.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Голова Правління                _______________________ Олег Орлов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_______________________Світлана Шульгіна                                          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9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63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LibreOffice/7.6.7.2$Linux_X86_64 LibreOffice_project/60$Build-2</Application>
  <AppVersion>15.0000</AppVersion>
  <Pages>1</Pages>
  <Words>137</Words>
  <Characters>875</Characters>
  <CharactersWithSpaces>1097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2024-02-27T09:13:00Z</dcterms:created>
  <dc:creator>Светлана Шульгина</dc:creator>
  <dc:description/>
  <dc:language>en-US</dc:language>
  <cp:lastModifiedBy/>
  <dcterms:modified xsi:type="dcterms:W3CDTF">2025-03-27T12:28:42Z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